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ПАМЯТКА ДЛЯ НАСЕЛЕНИЯ ПО ПРОФИЛАКТИКЕ ЭНТЕРОВИРУСНОЙ ИНФЕКЦИИ</w:t>
      </w:r>
    </w:p>
    <w:p w:rsid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rStyle w:val="a4"/>
          <w:color w:val="000000"/>
          <w:sz w:val="28"/>
          <w:szCs w:val="28"/>
        </w:rPr>
      </w:pP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i/>
          <w:color w:val="000000"/>
          <w:sz w:val="28"/>
          <w:szCs w:val="28"/>
          <w:u w:val="single"/>
        </w:rPr>
      </w:pPr>
      <w:r w:rsidRPr="00366CE2">
        <w:rPr>
          <w:rStyle w:val="a4"/>
          <w:i/>
          <w:color w:val="000000"/>
          <w:sz w:val="28"/>
          <w:szCs w:val="28"/>
          <w:u w:val="single"/>
        </w:rPr>
        <w:t>Что делать, если есть подозрение на заболевание 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 xml:space="preserve">По данным лабораторного исследования, заболеваемость вызвана </w:t>
      </w:r>
      <w:proofErr w:type="spellStart"/>
      <w:r w:rsidRPr="00366CE2">
        <w:rPr>
          <w:b/>
          <w:color w:val="000000"/>
          <w:sz w:val="28"/>
          <w:szCs w:val="28"/>
        </w:rPr>
        <w:t>энтеровирусом</w:t>
      </w:r>
      <w:proofErr w:type="spellEnd"/>
      <w:r w:rsidRPr="00366CE2">
        <w:rPr>
          <w:b/>
          <w:color w:val="000000"/>
          <w:sz w:val="28"/>
          <w:szCs w:val="28"/>
        </w:rPr>
        <w:t xml:space="preserve"> 71 типа и активацией сопутствующих инфекций. Этот тип вируса очень агрессивен по отношению к человеку. При этом 93% </w:t>
      </w:r>
      <w:proofErr w:type="gramStart"/>
      <w:r w:rsidRPr="00366CE2">
        <w:rPr>
          <w:b/>
          <w:color w:val="000000"/>
          <w:sz w:val="28"/>
          <w:szCs w:val="28"/>
        </w:rPr>
        <w:t>заболевших</w:t>
      </w:r>
      <w:proofErr w:type="gramEnd"/>
      <w:r w:rsidRPr="00366CE2">
        <w:rPr>
          <w:b/>
          <w:color w:val="000000"/>
          <w:sz w:val="28"/>
          <w:szCs w:val="28"/>
        </w:rPr>
        <w:t xml:space="preserve"> – дети. Кроме того, данный тип вируса крайне устойчив во внешней среде и даже способен несколько дней жить без человека.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Источник инфекции – больной человек или бессимптомный носитель вируса. Пути передачи вируса – фекально-оральный, воздушно-капельный, а также контактно-бытовой путь, через загрязненные предметы и руки другого человека с последующим проникновением вируса через слизистую ротоглотки, носа или глаз.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Начало заболевания похоже по симптомам на ОРВИ – катаральные явления и субфебрильная температура (37,5–38 °C на протяжении длительного времени).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У детей младшего возраста возможны боли в животе. При дальнейшем развитии болезни появляются боли в горле и стоматит, а также высыпания на коже и слизистых.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При появлении первых признаков заболевания необходимо немедленно обратиться к участковому врачу, а также прекратить конта</w:t>
      </w:r>
      <w:proofErr w:type="gramStart"/>
      <w:r w:rsidRPr="00366CE2">
        <w:rPr>
          <w:b/>
          <w:color w:val="000000"/>
          <w:sz w:val="28"/>
          <w:szCs w:val="28"/>
        </w:rPr>
        <w:t>кт с др</w:t>
      </w:r>
      <w:proofErr w:type="gramEnd"/>
      <w:r w:rsidRPr="00366CE2">
        <w:rPr>
          <w:b/>
          <w:color w:val="000000"/>
          <w:sz w:val="28"/>
          <w:szCs w:val="28"/>
        </w:rPr>
        <w:t>угими детьми.</w:t>
      </w:r>
    </w:p>
    <w:p w:rsid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 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i/>
          <w:color w:val="000000"/>
          <w:sz w:val="28"/>
          <w:szCs w:val="28"/>
          <w:u w:val="single"/>
        </w:rPr>
      </w:pPr>
      <w:r w:rsidRPr="00366CE2">
        <w:rPr>
          <w:rStyle w:val="a4"/>
          <w:i/>
          <w:color w:val="000000"/>
          <w:sz w:val="28"/>
          <w:szCs w:val="28"/>
          <w:u w:val="single"/>
        </w:rPr>
        <w:t>Что делать для предотвращения заболевания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Для профилактики распространения инфекции рекомендуется: ежедневная влажная уборка квартиры с использованием хлорсодержащих моющих средств, тщательное соблюдение правил личной гигиены – мытье рук с мылом перед едой, после посещения туалета, после возвращения с улицы, тщательное мытье фруктов, ягод, овощей сначала под проточной водой, затем – под кипяченой водой; использование индивидуальной посуды.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>Необходимо свести к минимуму посещение детьми мест скопления людей, а также исключить участие детей в массовых мероприятиях.</w:t>
      </w:r>
    </w:p>
    <w:p w:rsidR="00366CE2" w:rsidRPr="00366CE2" w:rsidRDefault="00366CE2" w:rsidP="00366CE2">
      <w:pPr>
        <w:pStyle w:val="a3"/>
        <w:spacing w:before="17" w:beforeAutospacing="0" w:after="17" w:afterAutospacing="0" w:line="288" w:lineRule="atLeast"/>
        <w:ind w:firstLine="343"/>
        <w:jc w:val="both"/>
        <w:rPr>
          <w:b/>
          <w:color w:val="000000"/>
          <w:sz w:val="28"/>
          <w:szCs w:val="28"/>
        </w:rPr>
      </w:pPr>
      <w:r w:rsidRPr="00366CE2">
        <w:rPr>
          <w:b/>
          <w:color w:val="000000"/>
          <w:sz w:val="28"/>
          <w:szCs w:val="28"/>
        </w:rPr>
        <w:t xml:space="preserve">Для профилактики заболевания энтеровирусной инфекцией используются следующие лекарственные препараты: </w:t>
      </w:r>
      <w:proofErr w:type="spellStart"/>
      <w:r w:rsidRPr="00366CE2">
        <w:rPr>
          <w:b/>
          <w:color w:val="000000"/>
          <w:sz w:val="28"/>
          <w:szCs w:val="28"/>
        </w:rPr>
        <w:t>виферон</w:t>
      </w:r>
      <w:proofErr w:type="spellEnd"/>
      <w:r w:rsidRPr="00366CE2">
        <w:rPr>
          <w:b/>
          <w:color w:val="000000"/>
          <w:sz w:val="28"/>
          <w:szCs w:val="28"/>
        </w:rPr>
        <w:t xml:space="preserve">, </w:t>
      </w:r>
      <w:proofErr w:type="spellStart"/>
      <w:r w:rsidRPr="00366CE2">
        <w:rPr>
          <w:b/>
          <w:color w:val="000000"/>
          <w:sz w:val="28"/>
          <w:szCs w:val="28"/>
        </w:rPr>
        <w:t>реаферон-ес-липинт</w:t>
      </w:r>
      <w:proofErr w:type="spellEnd"/>
      <w:r w:rsidRPr="00366CE2">
        <w:rPr>
          <w:b/>
          <w:color w:val="000000"/>
          <w:sz w:val="28"/>
          <w:szCs w:val="28"/>
        </w:rPr>
        <w:t xml:space="preserve">, </w:t>
      </w:r>
      <w:proofErr w:type="spellStart"/>
      <w:r w:rsidRPr="00366CE2">
        <w:rPr>
          <w:b/>
          <w:color w:val="000000"/>
          <w:sz w:val="28"/>
          <w:szCs w:val="28"/>
        </w:rPr>
        <w:t>линекс</w:t>
      </w:r>
      <w:proofErr w:type="spellEnd"/>
      <w:r w:rsidRPr="00366CE2">
        <w:rPr>
          <w:b/>
          <w:color w:val="000000"/>
          <w:sz w:val="28"/>
          <w:szCs w:val="28"/>
        </w:rPr>
        <w:t xml:space="preserve">, для орошения зева и носа – </w:t>
      </w:r>
      <w:proofErr w:type="spellStart"/>
      <w:r w:rsidRPr="00366CE2">
        <w:rPr>
          <w:b/>
          <w:color w:val="000000"/>
          <w:sz w:val="28"/>
          <w:szCs w:val="28"/>
        </w:rPr>
        <w:t>аквамарис</w:t>
      </w:r>
      <w:proofErr w:type="spellEnd"/>
      <w:r w:rsidRPr="00366CE2">
        <w:rPr>
          <w:b/>
          <w:color w:val="000000"/>
          <w:sz w:val="28"/>
          <w:szCs w:val="28"/>
        </w:rPr>
        <w:t xml:space="preserve"> и </w:t>
      </w:r>
      <w:proofErr w:type="spellStart"/>
      <w:r w:rsidRPr="00366CE2">
        <w:rPr>
          <w:b/>
          <w:color w:val="000000"/>
          <w:sz w:val="28"/>
          <w:szCs w:val="28"/>
        </w:rPr>
        <w:t>ингалипт</w:t>
      </w:r>
      <w:proofErr w:type="spellEnd"/>
      <w:r w:rsidRPr="00366CE2">
        <w:rPr>
          <w:b/>
          <w:color w:val="000000"/>
          <w:sz w:val="28"/>
          <w:szCs w:val="28"/>
        </w:rPr>
        <w:t>. Применение всех этих препаратов – строго по рекомендации врача! Ни в коем случае не занимайтесь самолечением!</w:t>
      </w:r>
    </w:p>
    <w:p w:rsidR="00000000" w:rsidRDefault="004C0169">
      <w:pPr>
        <w:rPr>
          <w:rFonts w:ascii="Times New Roman" w:hAnsi="Times New Roman" w:cs="Times New Roman"/>
          <w:b/>
          <w:sz w:val="28"/>
          <w:szCs w:val="28"/>
        </w:rPr>
      </w:pPr>
    </w:p>
    <w:p w:rsidR="00366CE2" w:rsidRDefault="00366CE2" w:rsidP="00366C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6CE2" w:rsidRDefault="00366CE2" w:rsidP="00366C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6CE2" w:rsidRDefault="00366CE2" w:rsidP="00366C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6CE2" w:rsidRPr="00366CE2" w:rsidRDefault="00366CE2" w:rsidP="00366C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Педколлектив МБОУ Зазерской СОШ</w:t>
      </w:r>
    </w:p>
    <w:sectPr w:rsidR="00366CE2" w:rsidRPr="00366CE2" w:rsidSect="00366CE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66CE2"/>
    <w:rsid w:val="00366CE2"/>
    <w:rsid w:val="004C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6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2013-06-13T12:26:00Z</cp:lastPrinted>
  <dcterms:created xsi:type="dcterms:W3CDTF">2013-06-13T12:05:00Z</dcterms:created>
  <dcterms:modified xsi:type="dcterms:W3CDTF">2013-06-13T12:27:00Z</dcterms:modified>
</cp:coreProperties>
</file>